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B" w:rsidRDefault="00B40E4B">
      <w:pPr>
        <w:ind w:right="240"/>
        <w:jc w:val="center"/>
        <w:rPr>
          <w:b/>
          <w:sz w:val="36"/>
        </w:rPr>
      </w:pP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«ТЕТЮШСКОЕ СЕЛЬСКОЕ ПОСЕЛЕНИЕ»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УЛЬЯНОВСКОГО РАЙОНА УЛЬЯНОВСКОЙ ОБЛАСТИ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E6556" w:rsidRDefault="00527ABB" w:rsidP="00527ABB">
      <w:pPr>
        <w:tabs>
          <w:tab w:val="left" w:pos="802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E6556" w:rsidRDefault="00EE6556" w:rsidP="00EE6556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47B0D" w:rsidRDefault="00E47B0D" w:rsidP="00EE6556">
      <w:pPr>
        <w:contextualSpacing/>
        <w:jc w:val="center"/>
        <w:rPr>
          <w:b/>
          <w:sz w:val="28"/>
          <w:szCs w:val="28"/>
        </w:rPr>
      </w:pPr>
    </w:p>
    <w:p w:rsidR="00EE6556" w:rsidRDefault="000052CA" w:rsidP="00527ABB">
      <w:pPr>
        <w:contextualSpacing/>
        <w:rPr>
          <w:sz w:val="28"/>
          <w:szCs w:val="28"/>
        </w:rPr>
      </w:pPr>
      <w:r>
        <w:rPr>
          <w:sz w:val="28"/>
          <w:szCs w:val="28"/>
        </w:rPr>
        <w:t>13.11.</w:t>
      </w:r>
      <w:r w:rsidR="00527ABB">
        <w:rPr>
          <w:sz w:val="28"/>
          <w:szCs w:val="28"/>
        </w:rPr>
        <w:t xml:space="preserve">2024     </w:t>
      </w:r>
      <w:r w:rsidR="00EE6556">
        <w:rPr>
          <w:sz w:val="28"/>
          <w:szCs w:val="28"/>
        </w:rPr>
        <w:tab/>
      </w:r>
      <w:r w:rsidR="00735A19">
        <w:rPr>
          <w:sz w:val="28"/>
          <w:szCs w:val="28"/>
        </w:rPr>
        <w:tab/>
      </w:r>
      <w:r w:rsidR="00735A19">
        <w:rPr>
          <w:sz w:val="28"/>
          <w:szCs w:val="28"/>
        </w:rPr>
        <w:tab/>
      </w:r>
      <w:r w:rsidR="00735A19">
        <w:rPr>
          <w:sz w:val="28"/>
          <w:szCs w:val="28"/>
        </w:rPr>
        <w:tab/>
        <w:t xml:space="preserve">       </w:t>
      </w:r>
      <w:r w:rsidR="00CA5D7A">
        <w:rPr>
          <w:sz w:val="28"/>
          <w:szCs w:val="28"/>
        </w:rPr>
        <w:t xml:space="preserve">      </w:t>
      </w:r>
      <w:r w:rsidR="00CA5D7A">
        <w:rPr>
          <w:sz w:val="28"/>
          <w:szCs w:val="28"/>
        </w:rPr>
        <w:tab/>
      </w:r>
      <w:r w:rsidR="00CA5D7A">
        <w:rPr>
          <w:sz w:val="28"/>
          <w:szCs w:val="28"/>
        </w:rPr>
        <w:tab/>
        <w:t xml:space="preserve">               №</w:t>
      </w:r>
      <w:r w:rsidR="00EE6556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</w:p>
    <w:p w:rsidR="00EE6556" w:rsidRDefault="00EE6556" w:rsidP="00EE6556">
      <w:pPr>
        <w:contextualSpacing/>
        <w:jc w:val="center"/>
        <w:rPr>
          <w:sz w:val="28"/>
          <w:szCs w:val="28"/>
        </w:rPr>
      </w:pPr>
    </w:p>
    <w:p w:rsidR="00EE6556" w:rsidRDefault="00EE6556" w:rsidP="00EE65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Тетюшское</w:t>
      </w:r>
      <w:proofErr w:type="spellEnd"/>
    </w:p>
    <w:p w:rsidR="00EE6556" w:rsidRDefault="00EE6556" w:rsidP="00EE6556">
      <w:pPr>
        <w:contextualSpacing/>
        <w:jc w:val="center"/>
        <w:rPr>
          <w:sz w:val="28"/>
          <w:szCs w:val="28"/>
        </w:rPr>
      </w:pPr>
    </w:p>
    <w:p w:rsidR="00C15329" w:rsidRDefault="00C15329" w:rsidP="00734790">
      <w:pPr>
        <w:contextualSpacing/>
        <w:rPr>
          <w:sz w:val="28"/>
          <w:szCs w:val="28"/>
        </w:rPr>
      </w:pPr>
    </w:p>
    <w:p w:rsidR="00F93BCE" w:rsidRDefault="00F93BCE">
      <w:pPr>
        <w:rPr>
          <w:b/>
          <w:sz w:val="28"/>
        </w:rPr>
      </w:pPr>
    </w:p>
    <w:tbl>
      <w:tblPr>
        <w:tblW w:w="0" w:type="auto"/>
        <w:tblLook w:val="0000"/>
      </w:tblPr>
      <w:tblGrid>
        <w:gridCol w:w="4273"/>
      </w:tblGrid>
      <w:tr w:rsidR="00F93BCE" w:rsidTr="009B17F6">
        <w:trPr>
          <w:trHeight w:val="568"/>
        </w:trPr>
        <w:tc>
          <w:tcPr>
            <w:tcW w:w="4273" w:type="dxa"/>
          </w:tcPr>
          <w:p w:rsidR="00195C02" w:rsidRDefault="00614028" w:rsidP="00195C02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>Об утверждени</w:t>
            </w:r>
            <w:r w:rsidR="00195C02">
              <w:rPr>
                <w:sz w:val="28"/>
              </w:rPr>
              <w:t xml:space="preserve">и Программы </w:t>
            </w:r>
            <w:r w:rsidR="009B17F6">
              <w:rPr>
                <w:sz w:val="28"/>
              </w:rPr>
              <w:t xml:space="preserve">профилактики рисков </w:t>
            </w:r>
            <w:r>
              <w:rPr>
                <w:sz w:val="28"/>
              </w:rPr>
              <w:t>причинения вр</w:t>
            </w:r>
            <w:r w:rsidR="00195C02">
              <w:rPr>
                <w:sz w:val="28"/>
              </w:rPr>
              <w:t xml:space="preserve">еда (ущерба) охраняемым законом </w:t>
            </w:r>
            <w:r>
              <w:rPr>
                <w:sz w:val="28"/>
              </w:rPr>
              <w:t xml:space="preserve">ценностям, применяемой при осуществлении муниципального контроля </w:t>
            </w:r>
            <w:r w:rsidR="001C659D">
              <w:rPr>
                <w:sz w:val="28"/>
              </w:rPr>
              <w:t xml:space="preserve">по благоустройству </w:t>
            </w:r>
            <w:r w:rsidR="00527ABB">
              <w:rPr>
                <w:sz w:val="28"/>
              </w:rPr>
              <w:t>на территории</w:t>
            </w:r>
            <w:r w:rsidR="00195C02">
              <w:rPr>
                <w:sz w:val="28"/>
              </w:rPr>
              <w:t xml:space="preserve"> </w:t>
            </w:r>
            <w:r w:rsidR="00527ABB">
              <w:rPr>
                <w:sz w:val="28"/>
              </w:rPr>
              <w:t>муниципального</w:t>
            </w:r>
            <w:r w:rsidR="00195C0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93BCE" w:rsidRDefault="00614028" w:rsidP="00195C0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EE6556">
              <w:rPr>
                <w:sz w:val="28"/>
              </w:rPr>
              <w:t>Тетюшское</w:t>
            </w:r>
            <w:proofErr w:type="spellEnd"/>
            <w:r w:rsidR="00EE6556">
              <w:rPr>
                <w:sz w:val="28"/>
              </w:rPr>
              <w:t xml:space="preserve"> сельское</w:t>
            </w:r>
            <w:r w:rsidR="001C659D">
              <w:rPr>
                <w:sz w:val="28"/>
              </w:rPr>
              <w:t xml:space="preserve"> поселение</w:t>
            </w:r>
            <w:r>
              <w:rPr>
                <w:sz w:val="28"/>
              </w:rPr>
              <w:t xml:space="preserve">» </w:t>
            </w:r>
            <w:r w:rsidR="00195C02">
              <w:rPr>
                <w:sz w:val="28"/>
              </w:rPr>
              <w:t xml:space="preserve">Ульяновского района </w:t>
            </w:r>
            <w:r>
              <w:rPr>
                <w:sz w:val="28"/>
              </w:rPr>
              <w:t>Ульяновской области на 202</w:t>
            </w:r>
            <w:r w:rsidR="00527ABB">
              <w:rPr>
                <w:sz w:val="28"/>
              </w:rPr>
              <w:t>5</w:t>
            </w:r>
            <w:r>
              <w:rPr>
                <w:sz w:val="28"/>
              </w:rPr>
              <w:t>год</w:t>
            </w:r>
            <w:bookmarkEnd w:id="0"/>
          </w:p>
        </w:tc>
      </w:tr>
    </w:tbl>
    <w:p w:rsidR="00F93BCE" w:rsidRDefault="00F93BCE" w:rsidP="00527ABB">
      <w:pPr>
        <w:rPr>
          <w:sz w:val="28"/>
        </w:rPr>
      </w:pPr>
    </w:p>
    <w:p w:rsidR="00C15329" w:rsidRDefault="00C15329">
      <w:pPr>
        <w:jc w:val="both"/>
        <w:rPr>
          <w:sz w:val="28"/>
        </w:rPr>
      </w:pPr>
    </w:p>
    <w:p w:rsidR="00C15329" w:rsidRPr="009328BF" w:rsidRDefault="00614028">
      <w:pPr>
        <w:jc w:val="both"/>
        <w:rPr>
          <w:color w:val="000000" w:themeColor="text1"/>
          <w:sz w:val="28"/>
        </w:rPr>
      </w:pPr>
      <w:r>
        <w:rPr>
          <w:sz w:val="28"/>
        </w:rPr>
        <w:tab/>
      </w:r>
      <w:r w:rsidRPr="009328BF">
        <w:rPr>
          <w:color w:val="000000" w:themeColor="text1"/>
          <w:sz w:val="28"/>
        </w:rPr>
        <w:t>В соответствии с частью 2</w:t>
      </w:r>
      <w:r w:rsidR="00D90B87" w:rsidRPr="009328BF">
        <w:rPr>
          <w:color w:val="000000" w:themeColor="text1"/>
          <w:sz w:val="28"/>
        </w:rPr>
        <w:t xml:space="preserve"> статьи 44 Федерального закона </w:t>
      </w:r>
      <w:r w:rsidRPr="009328BF">
        <w:rPr>
          <w:color w:val="000000" w:themeColor="text1"/>
          <w:sz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</w:t>
      </w:r>
      <w:r w:rsidR="00527ABB">
        <w:rPr>
          <w:color w:val="000000" w:themeColor="text1"/>
          <w:sz w:val="28"/>
        </w:rPr>
        <w:t xml:space="preserve"> </w:t>
      </w:r>
      <w:r w:rsidRPr="009328BF">
        <w:rPr>
          <w:color w:val="000000" w:themeColor="text1"/>
          <w:sz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 Администрация муниципального образования «</w:t>
      </w:r>
      <w:proofErr w:type="spellStart"/>
      <w:r w:rsidR="00527ABB">
        <w:rPr>
          <w:color w:val="000000" w:themeColor="text1"/>
          <w:sz w:val="28"/>
        </w:rPr>
        <w:t>Тетюшское</w:t>
      </w:r>
      <w:proofErr w:type="spellEnd"/>
      <w:r w:rsidR="00527ABB">
        <w:rPr>
          <w:color w:val="000000" w:themeColor="text1"/>
          <w:sz w:val="28"/>
        </w:rPr>
        <w:t xml:space="preserve"> сельское поселение</w:t>
      </w:r>
      <w:r w:rsidRPr="009328BF">
        <w:rPr>
          <w:color w:val="000000" w:themeColor="text1"/>
          <w:sz w:val="28"/>
        </w:rPr>
        <w:t>»</w:t>
      </w:r>
      <w:r w:rsidR="00527ABB">
        <w:rPr>
          <w:color w:val="000000" w:themeColor="text1"/>
          <w:sz w:val="28"/>
        </w:rPr>
        <w:t xml:space="preserve"> Ульяновского района</w:t>
      </w:r>
      <w:r w:rsidRPr="009328BF">
        <w:rPr>
          <w:color w:val="000000" w:themeColor="text1"/>
          <w:sz w:val="28"/>
        </w:rPr>
        <w:t xml:space="preserve"> Ульяновской области постановляет:</w:t>
      </w:r>
    </w:p>
    <w:p w:rsidR="00F93BCE" w:rsidRPr="009328BF" w:rsidRDefault="00195C02" w:rsidP="00D90B87">
      <w:pPr>
        <w:spacing w:before="100" w:after="100"/>
        <w:ind w:left="-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</w:t>
      </w:r>
      <w:r w:rsidR="00D90B87" w:rsidRPr="009328BF">
        <w:rPr>
          <w:color w:val="000000" w:themeColor="text1"/>
          <w:sz w:val="28"/>
        </w:rPr>
        <w:t xml:space="preserve">  1. </w:t>
      </w:r>
      <w:r w:rsidR="00614028" w:rsidRPr="009328BF">
        <w:rPr>
          <w:color w:val="000000" w:themeColor="text1"/>
          <w:sz w:val="28"/>
        </w:rPr>
        <w:t>Утвердить Программу профилактики рисков причинения вреда (ущерба) охраняемым законом ценностям, применяемую при осущес</w:t>
      </w:r>
      <w:r w:rsidR="00A64B4E" w:rsidRPr="009328BF">
        <w:rPr>
          <w:color w:val="000000" w:themeColor="text1"/>
          <w:sz w:val="28"/>
        </w:rPr>
        <w:t>твлении муниципального</w:t>
      </w:r>
      <w:r w:rsidR="00614028" w:rsidRPr="009328BF">
        <w:rPr>
          <w:color w:val="000000" w:themeColor="text1"/>
          <w:sz w:val="28"/>
        </w:rPr>
        <w:t xml:space="preserve"> контроля</w:t>
      </w:r>
      <w:r w:rsidR="00A64B4E" w:rsidRPr="009328BF">
        <w:rPr>
          <w:color w:val="000000" w:themeColor="text1"/>
          <w:sz w:val="28"/>
        </w:rPr>
        <w:t xml:space="preserve"> по благоустройству</w:t>
      </w:r>
      <w:r w:rsidR="00614028" w:rsidRPr="009328BF">
        <w:rPr>
          <w:color w:val="000000" w:themeColor="text1"/>
          <w:sz w:val="28"/>
        </w:rPr>
        <w:t xml:space="preserve"> на территории муниципального образования «</w:t>
      </w:r>
      <w:proofErr w:type="spellStart"/>
      <w:r w:rsidR="00EE6556">
        <w:rPr>
          <w:color w:val="000000" w:themeColor="text1"/>
          <w:sz w:val="28"/>
        </w:rPr>
        <w:t>Тетюшское</w:t>
      </w:r>
      <w:proofErr w:type="spellEnd"/>
      <w:r w:rsidR="00EE6556">
        <w:rPr>
          <w:color w:val="000000" w:themeColor="text1"/>
          <w:sz w:val="28"/>
        </w:rPr>
        <w:t xml:space="preserve"> сельское</w:t>
      </w:r>
      <w:r w:rsidR="001C659D" w:rsidRPr="009328BF">
        <w:rPr>
          <w:color w:val="000000" w:themeColor="text1"/>
          <w:sz w:val="28"/>
        </w:rPr>
        <w:t xml:space="preserve"> поселение</w:t>
      </w:r>
      <w:r w:rsidR="00614028" w:rsidRPr="009328BF">
        <w:rPr>
          <w:color w:val="000000" w:themeColor="text1"/>
          <w:sz w:val="28"/>
        </w:rPr>
        <w:t xml:space="preserve">» </w:t>
      </w:r>
      <w:r w:rsidR="00A64B4E" w:rsidRPr="009328BF">
        <w:rPr>
          <w:color w:val="000000" w:themeColor="text1"/>
          <w:sz w:val="28"/>
        </w:rPr>
        <w:t>Ульяновского</w:t>
      </w:r>
      <w:r w:rsidR="001C659D" w:rsidRPr="009328BF">
        <w:rPr>
          <w:color w:val="000000" w:themeColor="text1"/>
          <w:sz w:val="28"/>
        </w:rPr>
        <w:t xml:space="preserve"> район</w:t>
      </w:r>
      <w:r w:rsidR="00A64B4E" w:rsidRPr="009328BF">
        <w:rPr>
          <w:color w:val="000000" w:themeColor="text1"/>
          <w:sz w:val="28"/>
        </w:rPr>
        <w:t>а</w:t>
      </w:r>
      <w:r w:rsidR="007F38A2">
        <w:rPr>
          <w:color w:val="000000" w:themeColor="text1"/>
          <w:sz w:val="28"/>
        </w:rPr>
        <w:t xml:space="preserve"> </w:t>
      </w:r>
      <w:r w:rsidR="00614028" w:rsidRPr="009328BF">
        <w:rPr>
          <w:color w:val="000000" w:themeColor="text1"/>
          <w:sz w:val="28"/>
        </w:rPr>
        <w:t xml:space="preserve">Ульяновской </w:t>
      </w:r>
      <w:r w:rsidR="00D90B87" w:rsidRPr="009328BF">
        <w:rPr>
          <w:color w:val="000000" w:themeColor="text1"/>
          <w:sz w:val="28"/>
        </w:rPr>
        <w:t>области на 202</w:t>
      </w:r>
      <w:r w:rsidR="00527ABB">
        <w:rPr>
          <w:color w:val="000000" w:themeColor="text1"/>
          <w:sz w:val="28"/>
        </w:rPr>
        <w:t>5</w:t>
      </w:r>
      <w:r w:rsidR="00D90B87" w:rsidRPr="009328BF">
        <w:rPr>
          <w:color w:val="000000" w:themeColor="text1"/>
          <w:sz w:val="28"/>
        </w:rPr>
        <w:t xml:space="preserve"> год (Приложение</w:t>
      </w:r>
      <w:r w:rsidR="00614028" w:rsidRPr="009328BF">
        <w:rPr>
          <w:color w:val="000000" w:themeColor="text1"/>
          <w:sz w:val="28"/>
        </w:rPr>
        <w:t>).</w:t>
      </w:r>
    </w:p>
    <w:p w:rsidR="008665CD" w:rsidRDefault="00D90B87" w:rsidP="007B2118">
      <w:pPr>
        <w:spacing w:before="100" w:after="100"/>
        <w:ind w:left="-142"/>
        <w:jc w:val="both"/>
        <w:rPr>
          <w:color w:val="333333"/>
          <w:sz w:val="28"/>
        </w:rPr>
      </w:pPr>
      <w:r w:rsidRPr="009328BF">
        <w:rPr>
          <w:color w:val="000000" w:themeColor="text1"/>
          <w:sz w:val="28"/>
        </w:rPr>
        <w:t xml:space="preserve">         2. </w:t>
      </w:r>
      <w:proofErr w:type="gramStart"/>
      <w:r w:rsidRPr="009328BF">
        <w:rPr>
          <w:color w:val="000000" w:themeColor="text1"/>
          <w:sz w:val="28"/>
        </w:rPr>
        <w:t>Контроль за</w:t>
      </w:r>
      <w:proofErr w:type="gramEnd"/>
      <w:r w:rsidRPr="009328BF">
        <w:rPr>
          <w:color w:val="000000" w:themeColor="text1"/>
          <w:sz w:val="28"/>
        </w:rPr>
        <w:t xml:space="preserve"> исполнением данного постановления </w:t>
      </w:r>
      <w:r w:rsidR="007B2118">
        <w:rPr>
          <w:color w:val="000000" w:themeColor="text1"/>
          <w:sz w:val="28"/>
        </w:rPr>
        <w:t>оставляю за собой.</w:t>
      </w:r>
    </w:p>
    <w:p w:rsidR="00F93BCE" w:rsidRPr="009328BF" w:rsidRDefault="00D90B87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       3. Настоящее постановление вступает в силу на следующий день после его официального опубликования, но не ранее 1 января 202</w:t>
      </w:r>
      <w:r w:rsidR="00527ABB">
        <w:rPr>
          <w:color w:val="000000" w:themeColor="text1"/>
          <w:sz w:val="28"/>
        </w:rPr>
        <w:t>5</w:t>
      </w:r>
      <w:r w:rsidRPr="009328BF">
        <w:rPr>
          <w:color w:val="000000" w:themeColor="text1"/>
          <w:sz w:val="28"/>
        </w:rPr>
        <w:t xml:space="preserve"> года.</w:t>
      </w:r>
    </w:p>
    <w:p w:rsidR="00C15329" w:rsidRPr="00195C02" w:rsidRDefault="002D606E">
      <w:pPr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       </w:t>
      </w:r>
    </w:p>
    <w:p w:rsidR="00F93BCE" w:rsidRPr="009328BF" w:rsidRDefault="00527AB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И.о</w:t>
      </w:r>
      <w:proofErr w:type="gramStart"/>
      <w:r>
        <w:rPr>
          <w:color w:val="000000" w:themeColor="text1"/>
          <w:sz w:val="28"/>
        </w:rPr>
        <w:t>.Г</w:t>
      </w:r>
      <w:proofErr w:type="gramEnd"/>
      <w:r>
        <w:rPr>
          <w:color w:val="000000" w:themeColor="text1"/>
          <w:sz w:val="28"/>
        </w:rPr>
        <w:t>лавы</w:t>
      </w:r>
      <w:r w:rsidR="00614028" w:rsidRPr="009328BF">
        <w:rPr>
          <w:color w:val="000000" w:themeColor="text1"/>
          <w:sz w:val="28"/>
        </w:rPr>
        <w:t xml:space="preserve"> администрации  </w:t>
      </w:r>
    </w:p>
    <w:p w:rsidR="00F93BCE" w:rsidRPr="009328BF" w:rsidRDefault="0061402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муниципального образования</w:t>
      </w:r>
    </w:p>
    <w:p w:rsidR="001C659D" w:rsidRPr="007B2118" w:rsidRDefault="00614028" w:rsidP="007B211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«</w:t>
      </w:r>
      <w:proofErr w:type="spellStart"/>
      <w:r w:rsidR="007B2118">
        <w:rPr>
          <w:color w:val="000000" w:themeColor="text1"/>
          <w:sz w:val="28"/>
        </w:rPr>
        <w:t>Тетюшское</w:t>
      </w:r>
      <w:proofErr w:type="spellEnd"/>
      <w:r w:rsidR="007B2118">
        <w:rPr>
          <w:color w:val="000000" w:themeColor="text1"/>
          <w:sz w:val="28"/>
        </w:rPr>
        <w:t xml:space="preserve"> сельское</w:t>
      </w:r>
      <w:r w:rsidR="00735A19">
        <w:rPr>
          <w:color w:val="000000" w:themeColor="text1"/>
          <w:sz w:val="28"/>
        </w:rPr>
        <w:t xml:space="preserve"> поселение</w:t>
      </w:r>
      <w:r w:rsidRPr="009328BF">
        <w:rPr>
          <w:color w:val="000000" w:themeColor="text1"/>
          <w:sz w:val="28"/>
        </w:rPr>
        <w:t xml:space="preserve">»                              </w:t>
      </w:r>
      <w:r w:rsidR="00735A19">
        <w:rPr>
          <w:color w:val="000000" w:themeColor="text1"/>
          <w:sz w:val="28"/>
        </w:rPr>
        <w:t xml:space="preserve">   </w:t>
      </w:r>
      <w:r w:rsidR="007B2118">
        <w:rPr>
          <w:color w:val="000000" w:themeColor="text1"/>
          <w:sz w:val="28"/>
        </w:rPr>
        <w:t xml:space="preserve">   </w:t>
      </w:r>
      <w:r w:rsidRPr="009328BF">
        <w:rPr>
          <w:color w:val="000000" w:themeColor="text1"/>
          <w:sz w:val="28"/>
        </w:rPr>
        <w:t xml:space="preserve">      </w:t>
      </w:r>
      <w:r w:rsidR="00527ABB">
        <w:rPr>
          <w:color w:val="000000" w:themeColor="text1"/>
          <w:sz w:val="28"/>
        </w:rPr>
        <w:t>Г.А.Исаева</w:t>
      </w: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C15329" w:rsidRDefault="00C15329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 муниципального образования «Ульяновский район» Ульяновской области</w:t>
      </w:r>
    </w:p>
    <w:p w:rsidR="00F93BCE" w:rsidRDefault="009B17F6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 w:rsidR="00527ABB">
        <w:rPr>
          <w:rFonts w:ascii="Times New Roman" w:hAnsi="Times New Roman"/>
          <w:color w:val="000000"/>
          <w:sz w:val="24"/>
        </w:rPr>
        <w:t>_______2024</w:t>
      </w:r>
      <w:r>
        <w:rPr>
          <w:rFonts w:ascii="Times New Roman" w:hAnsi="Times New Roman"/>
          <w:color w:val="000000"/>
          <w:sz w:val="24"/>
        </w:rPr>
        <w:t>г. №</w:t>
      </w:r>
      <w:r w:rsidR="00527ABB">
        <w:rPr>
          <w:rFonts w:ascii="Times New Roman" w:hAnsi="Times New Roman"/>
          <w:color w:val="000000"/>
          <w:sz w:val="24"/>
        </w:rPr>
        <w:t>_____</w:t>
      </w:r>
    </w:p>
    <w:p w:rsidR="00F93BCE" w:rsidRDefault="00614028">
      <w:pPr>
        <w:spacing w:before="100" w:after="100" w:line="276" w:lineRule="auto"/>
        <w:jc w:val="center"/>
        <w:rPr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1C659D">
        <w:rPr>
          <w:b/>
          <w:sz w:val="28"/>
        </w:rPr>
        <w:t xml:space="preserve">по благоустройству </w:t>
      </w:r>
      <w:r>
        <w:rPr>
          <w:b/>
          <w:sz w:val="28"/>
        </w:rPr>
        <w:t>на территории муниципального образования </w:t>
      </w:r>
      <w:r w:rsidRPr="001C659D">
        <w:rPr>
          <w:b/>
          <w:sz w:val="28"/>
        </w:rPr>
        <w:t>«</w:t>
      </w:r>
      <w:proofErr w:type="spellStart"/>
      <w:r w:rsidR="00EE6556">
        <w:rPr>
          <w:b/>
          <w:sz w:val="28"/>
        </w:rPr>
        <w:t>Тетюшское</w:t>
      </w:r>
      <w:proofErr w:type="spellEnd"/>
      <w:r w:rsidR="00EE6556">
        <w:rPr>
          <w:b/>
          <w:sz w:val="28"/>
        </w:rPr>
        <w:t xml:space="preserve"> сельское</w:t>
      </w:r>
      <w:r w:rsidR="001C659D" w:rsidRPr="001C659D">
        <w:rPr>
          <w:b/>
          <w:sz w:val="28"/>
        </w:rPr>
        <w:t xml:space="preserve"> поселение</w:t>
      </w:r>
      <w:proofErr w:type="gramStart"/>
      <w:r w:rsidRPr="001C659D">
        <w:rPr>
          <w:b/>
          <w:sz w:val="28"/>
        </w:rPr>
        <w:t>»</w:t>
      </w:r>
      <w:r w:rsidR="001C659D">
        <w:rPr>
          <w:b/>
          <w:sz w:val="28"/>
        </w:rPr>
        <w:t>У</w:t>
      </w:r>
      <w:proofErr w:type="gramEnd"/>
      <w:r w:rsidR="001C659D">
        <w:rPr>
          <w:b/>
          <w:sz w:val="28"/>
        </w:rPr>
        <w:t>льяновск</w:t>
      </w:r>
      <w:r w:rsidR="00BF02D1">
        <w:rPr>
          <w:b/>
          <w:sz w:val="28"/>
        </w:rPr>
        <w:t>ого</w:t>
      </w:r>
      <w:r w:rsidR="001C659D">
        <w:rPr>
          <w:b/>
          <w:sz w:val="28"/>
        </w:rPr>
        <w:t xml:space="preserve"> район</w:t>
      </w:r>
      <w:r w:rsidR="00BF02D1">
        <w:rPr>
          <w:b/>
          <w:sz w:val="28"/>
        </w:rPr>
        <w:t>а</w:t>
      </w:r>
      <w:r w:rsidR="007B2118">
        <w:rPr>
          <w:b/>
          <w:sz w:val="28"/>
        </w:rPr>
        <w:t xml:space="preserve"> </w:t>
      </w:r>
      <w:r>
        <w:rPr>
          <w:b/>
          <w:sz w:val="28"/>
        </w:rPr>
        <w:t>Ульяновской области на 202</w:t>
      </w:r>
      <w:r w:rsidR="00527ABB">
        <w:rPr>
          <w:b/>
          <w:sz w:val="28"/>
        </w:rPr>
        <w:t>5</w:t>
      </w:r>
      <w:r>
        <w:rPr>
          <w:b/>
          <w:sz w:val="28"/>
        </w:rPr>
        <w:t xml:space="preserve"> год</w:t>
      </w:r>
      <w:r>
        <w:rPr>
          <w:sz w:val="28"/>
        </w:rPr>
        <w:t> </w:t>
      </w:r>
    </w:p>
    <w:p w:rsidR="00F93BCE" w:rsidRDefault="00614028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527ABB">
        <w:rPr>
          <w:sz w:val="28"/>
        </w:rPr>
        <w:t>5</w:t>
      </w:r>
      <w:r>
        <w:rPr>
          <w:sz w:val="28"/>
        </w:rPr>
        <w:t xml:space="preserve"> год в сфере муниципального контроля </w:t>
      </w:r>
      <w:r w:rsidR="001C659D">
        <w:rPr>
          <w:sz w:val="28"/>
        </w:rPr>
        <w:t>по благоустройству</w:t>
      </w:r>
      <w:r>
        <w:rPr>
          <w:sz w:val="28"/>
        </w:rPr>
        <w:t xml:space="preserve"> на территории муниципального образования 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1C659D">
        <w:rPr>
          <w:sz w:val="28"/>
        </w:rPr>
        <w:t xml:space="preserve"> поселение</w:t>
      </w:r>
      <w:r>
        <w:rPr>
          <w:sz w:val="28"/>
        </w:rPr>
        <w:t xml:space="preserve">» </w:t>
      </w:r>
      <w:r w:rsidR="001C659D">
        <w:rPr>
          <w:sz w:val="28"/>
        </w:rPr>
        <w:t xml:space="preserve">Ульяновский район </w:t>
      </w:r>
      <w:r>
        <w:rPr>
          <w:sz w:val="28"/>
        </w:rPr>
        <w:t>Ульяновской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3BCE" w:rsidRDefault="00614028" w:rsidP="003E6240">
      <w:pPr>
        <w:spacing w:before="100" w:after="100" w:line="276" w:lineRule="auto"/>
        <w:ind w:left="567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1. Анализ текущего состояния осущес</w:t>
      </w:r>
      <w:r w:rsidR="00A64B4E">
        <w:rPr>
          <w:b/>
          <w:color w:val="333333"/>
          <w:sz w:val="28"/>
        </w:rPr>
        <w:t xml:space="preserve">твления муниципального </w:t>
      </w:r>
      <w:r>
        <w:rPr>
          <w:b/>
          <w:color w:val="333333"/>
          <w:sz w:val="28"/>
        </w:rPr>
        <w:t>контроля</w:t>
      </w:r>
      <w:r w:rsidR="00A64B4E">
        <w:rPr>
          <w:b/>
          <w:color w:val="333333"/>
          <w:sz w:val="28"/>
        </w:rPr>
        <w:t xml:space="preserve"> по благоустройству</w:t>
      </w:r>
      <w:r>
        <w:rPr>
          <w:b/>
          <w:color w:val="333333"/>
          <w:sz w:val="28"/>
        </w:rPr>
        <w:t>, характеристика проблем, на решение которых направлена программа профилактики рисков причинения вреда.</w:t>
      </w:r>
    </w:p>
    <w:p w:rsidR="00BF02D1" w:rsidRPr="003E6240" w:rsidRDefault="00860EB6" w:rsidP="009328BF">
      <w:pPr>
        <w:contextualSpacing/>
        <w:jc w:val="both"/>
        <w:rPr>
          <w:sz w:val="28"/>
          <w:szCs w:val="28"/>
        </w:rPr>
      </w:pPr>
      <w:r>
        <w:rPr>
          <w:color w:val="333333"/>
          <w:sz w:val="28"/>
        </w:rPr>
        <w:t xml:space="preserve">        </w:t>
      </w:r>
      <w:r w:rsidR="003E6240" w:rsidRPr="003E6240">
        <w:rPr>
          <w:color w:val="333333"/>
          <w:sz w:val="28"/>
        </w:rPr>
        <w:t xml:space="preserve">1.1. </w:t>
      </w:r>
      <w:r w:rsidR="00103C07" w:rsidRPr="003E6240">
        <w:rPr>
          <w:color w:val="333333"/>
          <w:sz w:val="28"/>
        </w:rPr>
        <w:t xml:space="preserve">Контролируемыми лицами при осуществлении муниципального контроля по благоустройству </w:t>
      </w:r>
      <w:r w:rsidR="00BF02D1" w:rsidRPr="003E6240">
        <w:rPr>
          <w:sz w:val="28"/>
          <w:szCs w:val="28"/>
        </w:rPr>
        <w:t>является юридически</w:t>
      </w:r>
      <w:r w:rsidR="00103C07" w:rsidRPr="003E6240">
        <w:rPr>
          <w:sz w:val="28"/>
          <w:szCs w:val="28"/>
        </w:rPr>
        <w:t>е</w:t>
      </w:r>
      <w:r w:rsidR="00BF02D1" w:rsidRPr="003E6240">
        <w:rPr>
          <w:sz w:val="28"/>
          <w:szCs w:val="28"/>
        </w:rPr>
        <w:t xml:space="preserve"> лица, индивидуальны</w:t>
      </w:r>
      <w:r w:rsidR="00103C07" w:rsidRPr="003E6240">
        <w:rPr>
          <w:sz w:val="28"/>
          <w:szCs w:val="28"/>
        </w:rPr>
        <w:t>е предприниматели, граждане, которые</w:t>
      </w:r>
      <w:r w:rsidR="00BF02D1" w:rsidRPr="003E6240">
        <w:rPr>
          <w:sz w:val="28"/>
          <w:szCs w:val="28"/>
        </w:rPr>
        <w:t xml:space="preserve"> обяза</w:t>
      </w:r>
      <w:r w:rsidR="00103C07" w:rsidRPr="003E6240">
        <w:rPr>
          <w:sz w:val="28"/>
          <w:szCs w:val="28"/>
        </w:rPr>
        <w:t>ны соблюдать требования</w:t>
      </w:r>
      <w:r w:rsidR="00BF02D1" w:rsidRPr="003E6240">
        <w:rPr>
          <w:sz w:val="28"/>
          <w:szCs w:val="28"/>
        </w:rPr>
        <w:t xml:space="preserve"> Правил благоустройства территории </w:t>
      </w:r>
      <w:r w:rsidR="00BF02D1" w:rsidRPr="003E6240">
        <w:rPr>
          <w:sz w:val="28"/>
        </w:rPr>
        <w:t>муниципального образования 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BF02D1" w:rsidRPr="003E6240">
        <w:rPr>
          <w:sz w:val="28"/>
        </w:rPr>
        <w:t xml:space="preserve"> поселение» Ульяновского района,</w:t>
      </w:r>
      <w:r w:rsidR="007B2118">
        <w:rPr>
          <w:sz w:val="28"/>
        </w:rPr>
        <w:t xml:space="preserve"> </w:t>
      </w:r>
      <w:r w:rsidR="00BF02D1" w:rsidRPr="003E6240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BF02D1" w:rsidRPr="00BF02D1" w:rsidRDefault="00860EB6" w:rsidP="009328BF">
      <w:pPr>
        <w:pStyle w:val="a3"/>
        <w:ind w:left="0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03C07">
        <w:rPr>
          <w:sz w:val="28"/>
          <w:szCs w:val="28"/>
        </w:rPr>
        <w:t>1.2.</w:t>
      </w:r>
      <w:r w:rsidR="00BF02D1" w:rsidRPr="00BF02D1">
        <w:rPr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BF02D1" w:rsidRPr="00103C07" w:rsidRDefault="00BF02D1" w:rsidP="009328BF">
      <w:pPr>
        <w:contextualSpacing/>
        <w:jc w:val="both"/>
        <w:rPr>
          <w:sz w:val="28"/>
          <w:szCs w:val="28"/>
        </w:rPr>
      </w:pPr>
      <w:r w:rsidRPr="00103C07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F02D1" w:rsidRPr="00103C07" w:rsidRDefault="00BF02D1" w:rsidP="009328BF">
      <w:pPr>
        <w:contextualSpacing/>
        <w:jc w:val="both"/>
        <w:rPr>
          <w:sz w:val="28"/>
          <w:szCs w:val="28"/>
        </w:rPr>
      </w:pPr>
      <w:proofErr w:type="gramStart"/>
      <w:r w:rsidRPr="00103C07">
        <w:rPr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</w:t>
      </w:r>
      <w:r w:rsidRPr="00103C07">
        <w:rPr>
          <w:sz w:val="28"/>
          <w:szCs w:val="28"/>
        </w:rPr>
        <w:lastRenderedPageBreak/>
        <w:t>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93BCE" w:rsidRDefault="00103C07" w:rsidP="009328BF">
      <w:pPr>
        <w:spacing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1.3.</w:t>
      </w:r>
      <w:r w:rsidR="00614028">
        <w:rPr>
          <w:color w:val="333333"/>
          <w:sz w:val="28"/>
        </w:rPr>
        <w:t xml:space="preserve"> При осуществлении муниципального  контроля </w:t>
      </w:r>
      <w:r w:rsidR="00A64B4E">
        <w:rPr>
          <w:color w:val="333333"/>
          <w:sz w:val="28"/>
        </w:rPr>
        <w:t xml:space="preserve">по благоустройству </w:t>
      </w:r>
      <w:r w:rsidR="00614028">
        <w:rPr>
          <w:color w:val="333333"/>
          <w:sz w:val="28"/>
        </w:rPr>
        <w:t>ведётся учёт:</w:t>
      </w:r>
    </w:p>
    <w:p w:rsidR="00F93BCE" w:rsidRDefault="00614028" w:rsidP="009328BF">
      <w:pPr>
        <w:spacing w:line="276" w:lineRule="auto"/>
        <w:jc w:val="both"/>
        <w:rPr>
          <w:color w:val="333333"/>
          <w:sz w:val="28"/>
        </w:rPr>
      </w:pPr>
      <w:r>
        <w:rPr>
          <w:sz w:val="28"/>
        </w:rPr>
        <w:t>- проведённых контрольных (надзорных) мероприятий;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принятых решений по результатам проведённых профилактических, контрольных мероприятий;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консультаций, проведённых за плановый период;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обращений, поступивших в адрес контрольного органа.</w:t>
      </w:r>
    </w:p>
    <w:p w:rsidR="00F93BCE" w:rsidRDefault="00103C07" w:rsidP="009328B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1.4</w:t>
      </w:r>
      <w:r w:rsidR="00614028">
        <w:rPr>
          <w:color w:val="333333"/>
          <w:sz w:val="28"/>
        </w:rPr>
        <w:t>. Программа профилактики направлена на: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 повышение уровня правовой грамотности контролируемых лиц;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         Информирование контролируемых лиц по осуществлению муниципального контроля </w:t>
      </w:r>
      <w:r w:rsidR="00BF02D1">
        <w:rPr>
          <w:sz w:val="28"/>
        </w:rPr>
        <w:t xml:space="preserve">по благоустройству </w:t>
      </w:r>
      <w:r>
        <w:rPr>
          <w:sz w:val="28"/>
        </w:rPr>
        <w:t xml:space="preserve">на территории муниципального образования </w:t>
      </w:r>
      <w:r w:rsidRPr="00BF02D1">
        <w:rPr>
          <w:sz w:val="28"/>
        </w:rPr>
        <w:t>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BF02D1" w:rsidRPr="00BF02D1">
        <w:rPr>
          <w:sz w:val="28"/>
        </w:rPr>
        <w:t xml:space="preserve"> поселение</w:t>
      </w:r>
      <w:r w:rsidRPr="00BF02D1">
        <w:rPr>
          <w:sz w:val="28"/>
        </w:rPr>
        <w:t>»</w:t>
      </w:r>
      <w:r w:rsidR="007B2118">
        <w:rPr>
          <w:sz w:val="28"/>
        </w:rPr>
        <w:t xml:space="preserve"> </w:t>
      </w:r>
      <w:r w:rsidR="00BF02D1">
        <w:rPr>
          <w:sz w:val="28"/>
        </w:rPr>
        <w:t>Ульяновского района</w:t>
      </w:r>
      <w:r>
        <w:rPr>
          <w:sz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«Ульяновский район» Ульяновской области.</w:t>
      </w: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2. Цели и задачи реализации программы профилактики рисков причинения вреда.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1" w:name="sub_1005"/>
      <w:r>
        <w:rPr>
          <w:sz w:val="28"/>
          <w:szCs w:val="28"/>
        </w:rPr>
        <w:t xml:space="preserve">2.1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1"/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1E0CB4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1E0CB4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E0CB4">
        <w:rPr>
          <w:sz w:val="28"/>
          <w:szCs w:val="28"/>
        </w:rPr>
        <w:t>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реализации Программы являются: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 повышение правосознания и правовой культуры юридических лиц, индивидуальных предпринимателей и граждан;</w:t>
      </w:r>
    </w:p>
    <w:p w:rsidR="001C659D" w:rsidRPr="00431A76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приоритет реализации </w:t>
      </w:r>
      <w:r w:rsidRPr="00431A76">
        <w:rPr>
          <w:sz w:val="28"/>
          <w:szCs w:val="28"/>
        </w:rPr>
        <w:t xml:space="preserve">профилактических мероприятий, направленных на снижение риска причинения вреда (ущерба), по отношению </w:t>
      </w:r>
      <w:r w:rsidRPr="00431A76">
        <w:rPr>
          <w:sz w:val="28"/>
          <w:szCs w:val="28"/>
        </w:rPr>
        <w:lastRenderedPageBreak/>
        <w:t>к проведению контрольных (надзорных) мероприятий.</w:t>
      </w: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3. Перечень профилактических мероприятий, сроки (периодичность) их проведения. </w:t>
      </w:r>
    </w:p>
    <w:p w:rsidR="00F93BCE" w:rsidRDefault="00614028">
      <w:pPr>
        <w:spacing w:before="100" w:line="276" w:lineRule="auto"/>
        <w:rPr>
          <w:color w:val="333333"/>
          <w:sz w:val="28"/>
        </w:rPr>
      </w:pPr>
      <w:r>
        <w:rPr>
          <w:color w:val="333333"/>
          <w:sz w:val="28"/>
        </w:rPr>
        <w:t>         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527ABB">
        <w:rPr>
          <w:color w:val="333333"/>
          <w:sz w:val="28"/>
        </w:rPr>
        <w:t>5</w:t>
      </w:r>
      <w:r>
        <w:rPr>
          <w:color w:val="333333"/>
          <w:sz w:val="28"/>
        </w:rPr>
        <w:t xml:space="preserve"> год.</w:t>
      </w:r>
    </w:p>
    <w:p w:rsidR="009B17F6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План профилактических мероприятий на 202</w:t>
      </w:r>
      <w:r w:rsidR="00527ABB">
        <w:rPr>
          <w:b/>
          <w:color w:val="333333"/>
          <w:sz w:val="28"/>
        </w:rPr>
        <w:t>5</w:t>
      </w:r>
      <w:r>
        <w:rPr>
          <w:b/>
          <w:color w:val="333333"/>
          <w:sz w:val="28"/>
        </w:rPr>
        <w:t xml:space="preserve"> год.</w:t>
      </w:r>
      <w:r>
        <w:rPr>
          <w:color w:val="333333"/>
          <w:sz w:val="28"/>
        </w:rPr>
        <w:t> </w:t>
      </w:r>
    </w:p>
    <w:tbl>
      <w:tblPr>
        <w:tblW w:w="974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862"/>
        <w:gridCol w:w="3775"/>
        <w:gridCol w:w="2211"/>
        <w:gridCol w:w="2901"/>
      </w:tblGrid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№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proofErr w:type="spellStart"/>
            <w:proofErr w:type="gramStart"/>
            <w:r w:rsidRPr="009B17F6">
              <w:rPr>
                <w:color w:val="333333"/>
                <w:sz w:val="28"/>
              </w:rPr>
              <w:t>п</w:t>
            </w:r>
            <w:proofErr w:type="spellEnd"/>
            <w:proofErr w:type="gramEnd"/>
            <w:r w:rsidRPr="009B17F6">
              <w:rPr>
                <w:color w:val="333333"/>
                <w:sz w:val="28"/>
              </w:rPr>
              <w:t>/</w:t>
            </w:r>
            <w:proofErr w:type="spellStart"/>
            <w:r w:rsidRPr="009B17F6">
              <w:rPr>
                <w:color w:val="333333"/>
                <w:sz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Наименование мероприятия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Ответственное должностное лицо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Срок реализации 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мероприятия</w:t>
            </w:r>
          </w:p>
        </w:tc>
      </w:tr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1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Информирование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Информирование осуществляется </w:t>
            </w:r>
            <w:r w:rsidRPr="009B17F6">
              <w:rPr>
                <w:color w:val="333333"/>
                <w:sz w:val="28"/>
              </w:rPr>
              <w:t>администрацией по вопросам соблюдения обязательных требований посредством раз</w:t>
            </w:r>
            <w:r>
              <w:rPr>
                <w:color w:val="333333"/>
                <w:sz w:val="28"/>
              </w:rPr>
              <w:t xml:space="preserve">мещения </w:t>
            </w:r>
            <w:r w:rsidRPr="009B17F6">
              <w:rPr>
                <w:color w:val="333333"/>
                <w:sz w:val="28"/>
              </w:rPr>
              <w:t>соответствующих сведений на официальном сайте администрации и в печатном издании муниципального образования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Постоянно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</w:p>
        </w:tc>
      </w:tr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2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Обобщение правоприменительной практики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 w:rsidRPr="009B17F6">
              <w:rPr>
                <w:color w:val="333333"/>
                <w:sz w:val="28"/>
              </w:rPr>
              <w:lastRenderedPageBreak/>
              <w:t>практики по осуществлению муниципального контроля, который утверждается главой администрации МО «</w:t>
            </w:r>
            <w:proofErr w:type="spellStart"/>
            <w:r w:rsidRPr="009B17F6">
              <w:rPr>
                <w:color w:val="333333"/>
                <w:sz w:val="28"/>
              </w:rPr>
              <w:t>Тетюшское</w:t>
            </w:r>
            <w:proofErr w:type="spellEnd"/>
            <w:r w:rsidRPr="009B17F6">
              <w:rPr>
                <w:color w:val="333333"/>
                <w:sz w:val="28"/>
              </w:rPr>
              <w:t xml:space="preserve"> сельское поселение»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</w:tr>
      <w:tr w:rsidR="009B17F6" w:rsidRPr="001C5314" w:rsidTr="009B17F6">
        <w:trPr>
          <w:trHeight w:val="563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3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Объявление предостережения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 мере появления оснований, предусмотренных законодательством</w:t>
            </w:r>
          </w:p>
        </w:tc>
      </w:tr>
      <w:tr w:rsidR="009B17F6" w:rsidRPr="001C5314" w:rsidTr="009B17F6">
        <w:trPr>
          <w:trHeight w:val="5898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4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Консультирование.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B17F6">
              <w:rPr>
                <w:color w:val="333333"/>
                <w:sz w:val="28"/>
              </w:rPr>
              <w:t>видео-конференц-связи</w:t>
            </w:r>
            <w:proofErr w:type="spellEnd"/>
            <w:r w:rsidRPr="009B17F6">
              <w:rPr>
                <w:color w:val="333333"/>
                <w:sz w:val="2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Вопросы, по которым осуществляется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консультирование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1. Компетенция уполномоченного органа.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2. Соблюдение обязательных требований.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3. Проведение контрольных (надзорных) мероприятий.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4. Применение мер ответственности.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Постоянно по обращениям контролируемых лиц и их представителей</w:t>
            </w:r>
          </w:p>
        </w:tc>
      </w:tr>
      <w:tr w:rsidR="009B17F6" w:rsidRPr="001C5314" w:rsidTr="009B17F6">
        <w:trPr>
          <w:trHeight w:val="55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Профилактический визит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Ежеквартально</w:t>
            </w:r>
          </w:p>
        </w:tc>
      </w:tr>
    </w:tbl>
    <w:p w:rsidR="009B17F6" w:rsidRDefault="009B17F6" w:rsidP="009B17F6">
      <w:pPr>
        <w:spacing w:line="276" w:lineRule="auto"/>
        <w:jc w:val="both"/>
        <w:rPr>
          <w:b/>
          <w:color w:val="333333"/>
          <w:sz w:val="28"/>
        </w:rPr>
      </w:pPr>
    </w:p>
    <w:p w:rsidR="009B17F6" w:rsidRDefault="009B17F6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4. Показатели результативности и эффективности программы профилактики рисков причинения вреда. 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</w:t>
      </w:r>
      <w:r w:rsidR="009328BF">
        <w:rPr>
          <w:color w:val="333333"/>
          <w:sz w:val="28"/>
        </w:rPr>
        <w:t>астоящей Программе (приложение</w:t>
      </w:r>
      <w:r>
        <w:rPr>
          <w:color w:val="333333"/>
          <w:sz w:val="28"/>
        </w:rPr>
        <w:t>).</w:t>
      </w:r>
    </w:p>
    <w:p w:rsidR="00F93BCE" w:rsidRDefault="00F93BCE">
      <w:pPr>
        <w:spacing w:before="100" w:after="100" w:line="276" w:lineRule="auto"/>
        <w:jc w:val="both"/>
        <w:rPr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BF02D1" w:rsidRDefault="00BF02D1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BF02D1" w:rsidRDefault="00BF02D1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9328BF" w:rsidRDefault="009328BF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к программе профилактики рисков причинения вреда (ущерба) охраняемым законом ценностям, применяемую при осущест</w:t>
      </w:r>
      <w:r w:rsidR="00A64B4E">
        <w:rPr>
          <w:rFonts w:ascii="Times New Roman" w:hAnsi="Times New Roman"/>
          <w:color w:val="000000"/>
          <w:sz w:val="24"/>
        </w:rPr>
        <w:t xml:space="preserve">влении муниципального </w:t>
      </w:r>
      <w:r>
        <w:rPr>
          <w:rFonts w:ascii="Times New Roman" w:hAnsi="Times New Roman"/>
          <w:color w:val="000000"/>
          <w:sz w:val="24"/>
        </w:rPr>
        <w:t xml:space="preserve">контроля </w:t>
      </w:r>
      <w:r w:rsidR="00A64B4E">
        <w:rPr>
          <w:rFonts w:ascii="Times New Roman" w:hAnsi="Times New Roman"/>
          <w:color w:val="000000"/>
          <w:sz w:val="24"/>
        </w:rPr>
        <w:t xml:space="preserve">по благоустройству </w:t>
      </w:r>
      <w:r>
        <w:rPr>
          <w:rFonts w:ascii="Times New Roman" w:hAnsi="Times New Roman"/>
          <w:color w:val="000000"/>
          <w:sz w:val="24"/>
        </w:rPr>
        <w:t>на территории муниципального образования </w:t>
      </w:r>
      <w:r w:rsidR="00A64B4E" w:rsidRPr="00A64B4E">
        <w:rPr>
          <w:rFonts w:ascii="Times New Roman" w:hAnsi="Times New Roman"/>
          <w:color w:val="333333"/>
          <w:sz w:val="24"/>
          <w:szCs w:val="24"/>
        </w:rPr>
        <w:t>«</w:t>
      </w:r>
      <w:proofErr w:type="spellStart"/>
      <w:r w:rsidR="00EE6556">
        <w:rPr>
          <w:rFonts w:ascii="Times New Roman" w:hAnsi="Times New Roman"/>
          <w:sz w:val="24"/>
          <w:szCs w:val="24"/>
        </w:rPr>
        <w:t>Тетюшское</w:t>
      </w:r>
      <w:proofErr w:type="spellEnd"/>
      <w:r w:rsidR="00EE6556">
        <w:rPr>
          <w:rFonts w:ascii="Times New Roman" w:hAnsi="Times New Roman"/>
          <w:sz w:val="24"/>
          <w:szCs w:val="24"/>
        </w:rPr>
        <w:t xml:space="preserve"> сельское</w:t>
      </w:r>
      <w:r w:rsidR="00A64B4E" w:rsidRPr="00A64B4E">
        <w:rPr>
          <w:rFonts w:ascii="Times New Roman" w:hAnsi="Times New Roman"/>
          <w:sz w:val="24"/>
          <w:szCs w:val="24"/>
        </w:rPr>
        <w:t xml:space="preserve"> поселение</w:t>
      </w:r>
      <w:proofErr w:type="gramStart"/>
      <w:r w:rsidRPr="00A64B4E">
        <w:rPr>
          <w:rFonts w:ascii="Times New Roman" w:hAnsi="Times New Roman"/>
          <w:color w:val="333333"/>
          <w:sz w:val="24"/>
          <w:szCs w:val="24"/>
        </w:rPr>
        <w:t>»</w:t>
      </w:r>
      <w:r w:rsidR="00A64B4E">
        <w:rPr>
          <w:rFonts w:ascii="Times New Roman" w:hAnsi="Times New Roman"/>
          <w:color w:val="333333"/>
          <w:sz w:val="24"/>
        </w:rPr>
        <w:t>У</w:t>
      </w:r>
      <w:proofErr w:type="gramEnd"/>
      <w:r w:rsidR="00A64B4E">
        <w:rPr>
          <w:rFonts w:ascii="Times New Roman" w:hAnsi="Times New Roman"/>
          <w:color w:val="333333"/>
          <w:sz w:val="24"/>
        </w:rPr>
        <w:t xml:space="preserve">льяновского района </w:t>
      </w:r>
      <w:r>
        <w:rPr>
          <w:rFonts w:ascii="Times New Roman" w:hAnsi="Times New Roman"/>
          <w:color w:val="333333"/>
          <w:sz w:val="24"/>
        </w:rPr>
        <w:t>Ульяновской области на 202</w:t>
      </w:r>
      <w:r w:rsidR="00BB07A6">
        <w:rPr>
          <w:rFonts w:ascii="Times New Roman" w:hAnsi="Times New Roman"/>
          <w:color w:val="333333"/>
          <w:sz w:val="24"/>
        </w:rPr>
        <w:t>5</w:t>
      </w:r>
      <w:r>
        <w:rPr>
          <w:rFonts w:ascii="Times New Roman" w:hAnsi="Times New Roman"/>
          <w:color w:val="333333"/>
          <w:sz w:val="24"/>
        </w:rPr>
        <w:t xml:space="preserve"> год</w:t>
      </w:r>
    </w:p>
    <w:p w:rsidR="00F93BCE" w:rsidRDefault="00F93BCE">
      <w:pPr>
        <w:pStyle w:val="ConsPlusNormal"/>
        <w:ind w:left="5812" w:firstLine="0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</w:rPr>
        <w:t>программы профилактики рисков причинения вреда</w:t>
      </w:r>
      <w:proofErr w:type="gramEnd"/>
      <w:r>
        <w:rPr>
          <w:rFonts w:ascii="Times New Roman" w:hAnsi="Times New Roman"/>
          <w:b/>
          <w:sz w:val="28"/>
        </w:rPr>
        <w:t xml:space="preserve"> при осуществлении муниципального контроля </w:t>
      </w:r>
      <w:r w:rsidR="00A64B4E">
        <w:rPr>
          <w:rFonts w:ascii="Times New Roman" w:hAnsi="Times New Roman"/>
          <w:b/>
          <w:sz w:val="28"/>
        </w:rPr>
        <w:t xml:space="preserve">по благоустройству </w:t>
      </w: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  <w:r w:rsidRPr="0061402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E6556">
        <w:rPr>
          <w:rFonts w:ascii="Times New Roman" w:hAnsi="Times New Roman"/>
          <w:b/>
          <w:sz w:val="28"/>
          <w:szCs w:val="28"/>
        </w:rPr>
        <w:t>Тетюшское</w:t>
      </w:r>
      <w:proofErr w:type="spellEnd"/>
      <w:r w:rsidR="00EE6556">
        <w:rPr>
          <w:rFonts w:ascii="Times New Roman" w:hAnsi="Times New Roman"/>
          <w:b/>
          <w:sz w:val="28"/>
          <w:szCs w:val="28"/>
        </w:rPr>
        <w:t xml:space="preserve"> сельское</w:t>
      </w:r>
      <w:r w:rsidRPr="00614028">
        <w:rPr>
          <w:rFonts w:ascii="Times New Roman" w:hAnsi="Times New Roman"/>
          <w:b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</w:rPr>
        <w:t xml:space="preserve"> Ульяновского района Ульяновской области</w:t>
      </w:r>
      <w:r>
        <w:rPr>
          <w:rFonts w:ascii="Times New Roman" w:hAnsi="Times New Roman"/>
          <w:b/>
          <w:sz w:val="28"/>
        </w:rPr>
        <w:br/>
      </w:r>
    </w:p>
    <w:p w:rsidR="00F93BCE" w:rsidRDefault="00F93BCE">
      <w:pPr>
        <w:pStyle w:val="11"/>
        <w:jc w:val="center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профилактических мероприятий в объеме контрольных мероприятий – 80%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20%;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контролируемых лиц в отношении которых проведены профилактические мероприятия – 50%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93BCE" w:rsidRPr="005F10A5" w:rsidRDefault="00614028" w:rsidP="005F10A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количества однотипных и повторяющихся нарушений одним и тем же подконтрольным субъектом.</w:t>
      </w:r>
    </w:p>
    <w:sectPr w:rsidR="00F93BCE" w:rsidRPr="005F10A5" w:rsidSect="00B40E4B">
      <w:pgSz w:w="11905" w:h="16837"/>
      <w:pgMar w:top="284" w:right="680" w:bottom="142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99"/>
    <w:multiLevelType w:val="multilevel"/>
    <w:tmpl w:val="38D6E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6AF1572"/>
    <w:multiLevelType w:val="multilevel"/>
    <w:tmpl w:val="B86A5C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)"/>
      <w:lvlJc w:val="left"/>
      <w:pPr>
        <w:ind w:left="1549" w:hanging="720"/>
      </w:pPr>
    </w:lvl>
    <w:lvl w:ilvl="2">
      <w:start w:val="1"/>
      <w:numFmt w:val="decimal"/>
      <w:lvlText w:val="%1.%2.%3."/>
      <w:lvlJc w:val="left"/>
      <w:pPr>
        <w:ind w:left="2378" w:hanging="720"/>
      </w:p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396" w:hanging="1080"/>
      </w:pPr>
    </w:lvl>
    <w:lvl w:ilvl="5">
      <w:start w:val="1"/>
      <w:numFmt w:val="decimal"/>
      <w:lvlText w:val="%1.%2.%3.%4.%5.%6."/>
      <w:lvlJc w:val="left"/>
      <w:pPr>
        <w:ind w:left="5585" w:hanging="1440"/>
      </w:pPr>
    </w:lvl>
    <w:lvl w:ilvl="6">
      <w:start w:val="1"/>
      <w:numFmt w:val="decimal"/>
      <w:lvlText w:val="%1.%2.%3.%4.%5.%6.%7."/>
      <w:lvlJc w:val="left"/>
      <w:pPr>
        <w:ind w:left="6774" w:hanging="1800"/>
      </w:pPr>
    </w:lvl>
    <w:lvl w:ilvl="7">
      <w:start w:val="1"/>
      <w:numFmt w:val="decimal"/>
      <w:lvlText w:val="%1.%2.%3.%4.%5.%6.%7.%8."/>
      <w:lvlJc w:val="left"/>
      <w:pPr>
        <w:ind w:left="7603" w:hanging="1800"/>
      </w:pPr>
    </w:lvl>
    <w:lvl w:ilvl="8">
      <w:start w:val="1"/>
      <w:numFmt w:val="decimal"/>
      <w:lvlText w:val="%1.%2.%3.%4.%5.%6.%7.%8.%9."/>
      <w:lvlJc w:val="left"/>
      <w:pPr>
        <w:ind w:left="8792" w:hanging="2160"/>
      </w:pPr>
    </w:lvl>
  </w:abstractNum>
  <w:abstractNum w:abstractNumId="2">
    <w:nsid w:val="0A163262"/>
    <w:multiLevelType w:val="multilevel"/>
    <w:tmpl w:val="3148E3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BA40AA1"/>
    <w:multiLevelType w:val="multilevel"/>
    <w:tmpl w:val="EAE4ECF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20C707A"/>
    <w:multiLevelType w:val="multilevel"/>
    <w:tmpl w:val="726407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2061" w:hanging="108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4176" w:hanging="2160"/>
      </w:pPr>
    </w:lvl>
  </w:abstractNum>
  <w:abstractNum w:abstractNumId="5">
    <w:nsid w:val="44292C6D"/>
    <w:multiLevelType w:val="multilevel"/>
    <w:tmpl w:val="01D0D488"/>
    <w:lvl w:ilvl="0">
      <w:start w:val="1"/>
      <w:numFmt w:val="decimal"/>
      <w:lvlText w:val="%1."/>
      <w:lvlJc w:val="left"/>
      <w:pPr>
        <w:ind w:left="1845" w:hanging="112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>
    <w:nsid w:val="4AAB35D8"/>
    <w:multiLevelType w:val="multilevel"/>
    <w:tmpl w:val="B2CE2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50E17EAC"/>
    <w:multiLevelType w:val="multilevel"/>
    <w:tmpl w:val="B3E050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2F84ADE"/>
    <w:multiLevelType w:val="multilevel"/>
    <w:tmpl w:val="CC1AA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9">
    <w:nsid w:val="67D64CB5"/>
    <w:multiLevelType w:val="multilevel"/>
    <w:tmpl w:val="05166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71F504EE"/>
    <w:multiLevelType w:val="multilevel"/>
    <w:tmpl w:val="BA889350"/>
    <w:lvl w:ilvl="0">
      <w:start w:val="1"/>
      <w:numFmt w:val="decimal"/>
      <w:lvlText w:val="%1."/>
      <w:lvlJc w:val="left"/>
      <w:pPr>
        <w:ind w:left="119" w:hanging="384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836" w:hanging="28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2.%3"/>
      <w:lvlJc w:val="left"/>
      <w:pPr>
        <w:ind w:left="119" w:hanging="452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160" w:hanging="452"/>
      </w:pPr>
    </w:lvl>
    <w:lvl w:ilvl="4">
      <w:numFmt w:val="bullet"/>
      <w:lvlText w:val="•"/>
      <w:lvlJc w:val="left"/>
      <w:pPr>
        <w:ind w:left="5821" w:hanging="452"/>
      </w:pPr>
    </w:lvl>
    <w:lvl w:ilvl="5">
      <w:numFmt w:val="bullet"/>
      <w:lvlText w:val="•"/>
      <w:lvlJc w:val="left"/>
      <w:pPr>
        <w:ind w:left="6481" w:hanging="452"/>
      </w:pPr>
    </w:lvl>
    <w:lvl w:ilvl="6">
      <w:numFmt w:val="bullet"/>
      <w:lvlText w:val="•"/>
      <w:lvlJc w:val="left"/>
      <w:pPr>
        <w:ind w:left="7142" w:hanging="452"/>
      </w:pPr>
    </w:lvl>
    <w:lvl w:ilvl="7">
      <w:numFmt w:val="bullet"/>
      <w:lvlText w:val="•"/>
      <w:lvlJc w:val="left"/>
      <w:pPr>
        <w:ind w:left="7802" w:hanging="452"/>
      </w:pPr>
    </w:lvl>
    <w:lvl w:ilvl="8">
      <w:numFmt w:val="bullet"/>
      <w:lvlText w:val="•"/>
      <w:lvlJc w:val="left"/>
      <w:pPr>
        <w:ind w:left="8463" w:hanging="452"/>
      </w:pPr>
    </w:lvl>
  </w:abstractNum>
  <w:abstractNum w:abstractNumId="11">
    <w:nsid w:val="7AAC7A29"/>
    <w:multiLevelType w:val="multilevel"/>
    <w:tmpl w:val="ABD818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BCE"/>
    <w:rsid w:val="000052CA"/>
    <w:rsid w:val="00084B58"/>
    <w:rsid w:val="00103C07"/>
    <w:rsid w:val="00116065"/>
    <w:rsid w:val="00195C02"/>
    <w:rsid w:val="001C659D"/>
    <w:rsid w:val="001F7C83"/>
    <w:rsid w:val="00223B87"/>
    <w:rsid w:val="002D606E"/>
    <w:rsid w:val="0032402A"/>
    <w:rsid w:val="00396040"/>
    <w:rsid w:val="003E6240"/>
    <w:rsid w:val="004D32DD"/>
    <w:rsid w:val="00527ABB"/>
    <w:rsid w:val="005525B9"/>
    <w:rsid w:val="00577B1D"/>
    <w:rsid w:val="00597E04"/>
    <w:rsid w:val="005F10A5"/>
    <w:rsid w:val="00614028"/>
    <w:rsid w:val="006E0BDF"/>
    <w:rsid w:val="006E703E"/>
    <w:rsid w:val="0070623A"/>
    <w:rsid w:val="00733478"/>
    <w:rsid w:val="00734790"/>
    <w:rsid w:val="00735A19"/>
    <w:rsid w:val="007B2118"/>
    <w:rsid w:val="007F38A2"/>
    <w:rsid w:val="007F428F"/>
    <w:rsid w:val="0080054D"/>
    <w:rsid w:val="008468F5"/>
    <w:rsid w:val="00860EB6"/>
    <w:rsid w:val="008665CD"/>
    <w:rsid w:val="009067BB"/>
    <w:rsid w:val="009328BF"/>
    <w:rsid w:val="009B17F6"/>
    <w:rsid w:val="009F7548"/>
    <w:rsid w:val="00A64B4E"/>
    <w:rsid w:val="00AB2785"/>
    <w:rsid w:val="00B40E4B"/>
    <w:rsid w:val="00BB07A6"/>
    <w:rsid w:val="00BB4E94"/>
    <w:rsid w:val="00BF02D1"/>
    <w:rsid w:val="00C15329"/>
    <w:rsid w:val="00CA5D7A"/>
    <w:rsid w:val="00CC5FFB"/>
    <w:rsid w:val="00D90B87"/>
    <w:rsid w:val="00E47B0D"/>
    <w:rsid w:val="00EE6556"/>
    <w:rsid w:val="00F260A8"/>
    <w:rsid w:val="00F93BCE"/>
    <w:rsid w:val="00FB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23A"/>
    <w:rPr>
      <w:sz w:val="24"/>
    </w:rPr>
  </w:style>
  <w:style w:type="paragraph" w:styleId="1">
    <w:name w:val="heading 1"/>
    <w:rsid w:val="0070623A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23A"/>
    <w:pPr>
      <w:ind w:firstLine="720"/>
    </w:pPr>
    <w:rPr>
      <w:rFonts w:ascii="Arial" w:hAnsi="Arial"/>
    </w:rPr>
  </w:style>
  <w:style w:type="paragraph" w:styleId="a3">
    <w:name w:val="List Paragraph"/>
    <w:rsid w:val="0070623A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  <w:rsid w:val="0070623A"/>
  </w:style>
  <w:style w:type="paragraph" w:customStyle="1" w:styleId="10">
    <w:name w:val="Указатель1"/>
    <w:rsid w:val="0070623A"/>
    <w:rPr>
      <w:rFonts w:ascii="Arial" w:hAnsi="Arial"/>
      <w:sz w:val="24"/>
    </w:rPr>
  </w:style>
  <w:style w:type="paragraph" w:customStyle="1" w:styleId="11">
    <w:name w:val="Без интервала1"/>
    <w:rsid w:val="0070623A"/>
    <w:rPr>
      <w:rFonts w:ascii="Calibri" w:hAnsi="Calibri"/>
      <w:sz w:val="22"/>
    </w:rPr>
  </w:style>
  <w:style w:type="paragraph" w:styleId="a5">
    <w:name w:val="footer"/>
    <w:rsid w:val="0070623A"/>
    <w:rPr>
      <w:sz w:val="22"/>
    </w:rPr>
  </w:style>
  <w:style w:type="paragraph" w:styleId="a6">
    <w:name w:val="header"/>
    <w:rsid w:val="0070623A"/>
    <w:rPr>
      <w:sz w:val="24"/>
    </w:rPr>
  </w:style>
  <w:style w:type="paragraph" w:styleId="a7">
    <w:name w:val="Normal (Web)"/>
    <w:rsid w:val="0070623A"/>
    <w:pPr>
      <w:spacing w:before="100" w:after="100"/>
    </w:pPr>
    <w:rPr>
      <w:sz w:val="24"/>
    </w:rPr>
  </w:style>
  <w:style w:type="paragraph" w:styleId="a8">
    <w:name w:val="Balloon Text"/>
    <w:rsid w:val="0070623A"/>
    <w:rPr>
      <w:rFonts w:ascii="Tahoma" w:hAnsi="Tahoma"/>
      <w:sz w:val="16"/>
    </w:rPr>
  </w:style>
  <w:style w:type="paragraph" w:customStyle="1" w:styleId="a9">
    <w:name w:val="Заголовок таблицы"/>
    <w:rsid w:val="0070623A"/>
    <w:pPr>
      <w:jc w:val="center"/>
    </w:pPr>
    <w:rPr>
      <w:b/>
    </w:rPr>
  </w:style>
  <w:style w:type="paragraph" w:styleId="aa">
    <w:name w:val="Body Text"/>
    <w:rsid w:val="0070623A"/>
    <w:pPr>
      <w:spacing w:after="120"/>
    </w:pPr>
    <w:rPr>
      <w:sz w:val="24"/>
    </w:rPr>
  </w:style>
  <w:style w:type="paragraph" w:styleId="ab">
    <w:name w:val="Title"/>
    <w:rsid w:val="0070623A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rsid w:val="0070623A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rsid w:val="0070623A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uiPriority w:val="1"/>
    <w:qFormat/>
    <w:rsid w:val="00EE655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BEE7-7FC3-4D76-B4F6-A5B414D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утв ППР.doc</vt:lpstr>
    </vt:vector>
  </TitlesOfParts>
  <Company>SPecialiST RePack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утв ППР.doc</dc:title>
  <dc:creator>пк</dc:creator>
  <cp:lastModifiedBy>Пользователь</cp:lastModifiedBy>
  <cp:revision>19</cp:revision>
  <cp:lastPrinted>2024-11-14T12:19:00Z</cp:lastPrinted>
  <dcterms:created xsi:type="dcterms:W3CDTF">2021-12-30T04:29:00Z</dcterms:created>
  <dcterms:modified xsi:type="dcterms:W3CDTF">2024-11-14T12:26:00Z</dcterms:modified>
</cp:coreProperties>
</file>